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29" w:rsidRPr="006823F3" w:rsidRDefault="00644E29" w:rsidP="00644E29">
      <w:pPr>
        <w:rPr>
          <w:rFonts w:ascii="Times New Roman" w:eastAsia="Calibri" w:hAnsi="Times New Roman" w:cs="Times New Roman"/>
          <w:b/>
        </w:rPr>
      </w:pPr>
      <w:r w:rsidRPr="006823F3">
        <w:rPr>
          <w:rFonts w:ascii="Times New Roman" w:eastAsia="Calibri" w:hAnsi="Times New Roman" w:cs="Times New Roman"/>
          <w:b/>
        </w:rPr>
        <w:t>Community Readiness Model</w:t>
      </w:r>
      <w:r w:rsidRPr="006823F3">
        <w:rPr>
          <w:rFonts w:ascii="Times New Roman" w:eastAsia="Calibri" w:hAnsi="Times New Roman" w:cs="Times New Roman"/>
          <w:b/>
          <w:vertAlign w:val="superscript"/>
        </w:rPr>
        <w:footnoteReference w:id="1"/>
      </w:r>
    </w:p>
    <w:p w:rsidR="00644E29" w:rsidRPr="006823F3" w:rsidRDefault="00644E29" w:rsidP="00644E29">
      <w:pPr>
        <w:autoSpaceDE w:val="0"/>
        <w:autoSpaceDN w:val="0"/>
        <w:adjustRightInd w:val="0"/>
        <w:rPr>
          <w:rFonts w:ascii="Times New Roman" w:eastAsia="Calibri" w:hAnsi="Times New Roman" w:cs="Times New Roman"/>
        </w:rPr>
      </w:pPr>
      <w:r w:rsidRPr="006823F3">
        <w:rPr>
          <w:rFonts w:ascii="Times New Roman" w:eastAsia="Calibri" w:hAnsi="Times New Roman" w:cs="Times New Roman"/>
          <w:color w:val="000000"/>
        </w:rPr>
        <w:t xml:space="preserve">The Community Readiness Model can be viewed as a vehicle for assisting communities to move through the levels of the Social-Ecological Model. For communities to be successful, their local community prevention efforts must be rooted in community-based strengths and resources </w:t>
      </w:r>
      <w:r w:rsidRPr="006823F3">
        <w:rPr>
          <w:rFonts w:ascii="Times New Roman" w:eastAsia="Calibri" w:hAnsi="Times New Roman" w:cs="Times New Roman"/>
        </w:rPr>
        <w:t>that are culturally relevant as well as consistent with the community’s level of readiness to address the issue</w:t>
      </w:r>
      <w:r w:rsidRPr="006823F3">
        <w:rPr>
          <w:rFonts w:ascii="Times New Roman" w:eastAsia="Calibri" w:hAnsi="Times New Roman" w:cs="Times New Roman"/>
          <w:vertAlign w:val="superscript"/>
        </w:rPr>
        <w:footnoteReference w:id="2"/>
      </w:r>
      <w:r w:rsidRPr="006823F3">
        <w:rPr>
          <w:rFonts w:ascii="Times New Roman" w:eastAsia="Calibri" w:hAnsi="Times New Roman" w:cs="Times New Roman"/>
        </w:rPr>
        <w:t>. Additionally, it is important to note that communities are at diverse levels of readiness to implement change for various social issues, and successful change can occur when community members work together as a team at the community’s level of readiness</w:t>
      </w:r>
      <w:r w:rsidRPr="006823F3">
        <w:rPr>
          <w:rFonts w:ascii="Times New Roman" w:eastAsia="Calibri" w:hAnsi="Times New Roman" w:cs="Times New Roman"/>
          <w:vertAlign w:val="superscript"/>
        </w:rPr>
        <w:footnoteReference w:id="3"/>
      </w:r>
      <w:r w:rsidRPr="006823F3">
        <w:rPr>
          <w:rFonts w:ascii="Times New Roman" w:eastAsia="Calibri" w:hAnsi="Times New Roman" w:cs="Times New Roman"/>
        </w:rPr>
        <w:t xml:space="preserve"> to implement comprehensive primary prevention strategies.</w:t>
      </w:r>
    </w:p>
    <w:p w:rsidR="00644E29" w:rsidRPr="006823F3" w:rsidRDefault="00644E29" w:rsidP="00644E29">
      <w:pPr>
        <w:autoSpaceDE w:val="0"/>
        <w:autoSpaceDN w:val="0"/>
        <w:adjustRightInd w:val="0"/>
        <w:rPr>
          <w:rFonts w:ascii="Times New Roman" w:eastAsia="Calibri" w:hAnsi="Times New Roman" w:cs="Times New Roman"/>
        </w:rPr>
      </w:pPr>
    </w:p>
    <w:p w:rsidR="00644E29" w:rsidRPr="006823F3" w:rsidRDefault="00644E29" w:rsidP="00644E29">
      <w:pPr>
        <w:autoSpaceDE w:val="0"/>
        <w:autoSpaceDN w:val="0"/>
        <w:adjustRightInd w:val="0"/>
        <w:rPr>
          <w:rFonts w:ascii="Times New Roman" w:eastAsia="Calibri" w:hAnsi="Times New Roman" w:cs="Times New Roman"/>
        </w:rPr>
      </w:pPr>
      <w:r w:rsidRPr="006823F3">
        <w:rPr>
          <w:rFonts w:ascii="Times New Roman" w:eastAsia="Calibri" w:hAnsi="Times New Roman" w:cs="Times New Roman"/>
        </w:rPr>
        <w:t xml:space="preserve">The Community Readiness Model assesses for community readiness along a nine-stage continuum of awareness, from no awareness to a high level of community ownership. </w:t>
      </w:r>
    </w:p>
    <w:p w:rsidR="00644E29" w:rsidRPr="006823F3" w:rsidRDefault="00644E29" w:rsidP="00644E29">
      <w:pPr>
        <w:autoSpaceDE w:val="0"/>
        <w:autoSpaceDN w:val="0"/>
        <w:adjustRightInd w:val="0"/>
        <w:rPr>
          <w:rFonts w:ascii="Times New Roman" w:eastAsia="Calibri" w:hAnsi="Times New Roman" w:cs="Times New Roman"/>
        </w:rPr>
      </w:pPr>
    </w:p>
    <w:tbl>
      <w:tblPr>
        <w:tblStyle w:val="TableGrid"/>
        <w:tblW w:w="0" w:type="auto"/>
        <w:tblLayout w:type="fixed"/>
        <w:tblLook w:val="04A0" w:firstRow="1" w:lastRow="0" w:firstColumn="1" w:lastColumn="0" w:noHBand="0" w:noVBand="1"/>
      </w:tblPr>
      <w:tblGrid>
        <w:gridCol w:w="3708"/>
        <w:gridCol w:w="5868"/>
      </w:tblGrid>
      <w:tr w:rsidR="00644E29" w:rsidRPr="006823F3" w:rsidTr="00922B95">
        <w:trPr>
          <w:trHeight w:val="440"/>
        </w:trPr>
        <w:tc>
          <w:tcPr>
            <w:tcW w:w="3708" w:type="dxa"/>
            <w:shd w:val="clear" w:color="auto" w:fill="D9D9D9" w:themeFill="background1" w:themeFillShade="D9"/>
            <w:vAlign w:val="center"/>
          </w:tcPr>
          <w:p w:rsidR="00644E29" w:rsidRPr="006823F3" w:rsidRDefault="00644E29" w:rsidP="00922B95">
            <w:pPr>
              <w:autoSpaceDE w:val="0"/>
              <w:autoSpaceDN w:val="0"/>
              <w:adjustRightInd w:val="0"/>
              <w:jc w:val="center"/>
              <w:rPr>
                <w:rFonts w:eastAsia="Calibri" w:cs="Times New Roman"/>
                <w:color w:val="000000"/>
                <w:sz w:val="22"/>
              </w:rPr>
            </w:pPr>
            <w:r w:rsidRPr="006823F3">
              <w:rPr>
                <w:rFonts w:eastAsia="Calibri" w:cs="Times New Roman"/>
                <w:b/>
                <w:bCs/>
                <w:color w:val="000000"/>
                <w:sz w:val="22"/>
              </w:rPr>
              <w:t>Stage of Readiness</w:t>
            </w:r>
          </w:p>
        </w:tc>
        <w:tc>
          <w:tcPr>
            <w:tcW w:w="5868" w:type="dxa"/>
            <w:shd w:val="clear" w:color="auto" w:fill="D9D9D9" w:themeFill="background1" w:themeFillShade="D9"/>
            <w:vAlign w:val="center"/>
          </w:tcPr>
          <w:p w:rsidR="00644E29" w:rsidRPr="006823F3" w:rsidRDefault="00644E29" w:rsidP="00922B95">
            <w:pPr>
              <w:autoSpaceDE w:val="0"/>
              <w:autoSpaceDN w:val="0"/>
              <w:adjustRightInd w:val="0"/>
              <w:jc w:val="center"/>
              <w:rPr>
                <w:rFonts w:eastAsia="Calibri" w:cs="Times New Roman"/>
                <w:color w:val="000000"/>
                <w:sz w:val="22"/>
              </w:rPr>
            </w:pPr>
            <w:r w:rsidRPr="006823F3">
              <w:rPr>
                <w:rFonts w:eastAsia="Calibri" w:cs="Times New Roman"/>
                <w:b/>
                <w:bCs/>
                <w:color w:val="000000"/>
                <w:sz w:val="22"/>
              </w:rPr>
              <w:t>Description of Stage</w:t>
            </w:r>
          </w:p>
        </w:tc>
      </w:tr>
      <w:tr w:rsidR="00644E29" w:rsidRPr="006823F3" w:rsidTr="00922B95">
        <w:tc>
          <w:tcPr>
            <w:tcW w:w="3708" w:type="dxa"/>
            <w:vAlign w:val="center"/>
          </w:tcPr>
          <w:p w:rsidR="00644E29" w:rsidRPr="006823F3" w:rsidRDefault="00644E29" w:rsidP="00644E29">
            <w:pPr>
              <w:numPr>
                <w:ilvl w:val="0"/>
                <w:numId w:val="1"/>
              </w:numPr>
              <w:autoSpaceDE w:val="0"/>
              <w:autoSpaceDN w:val="0"/>
              <w:adjustRightInd w:val="0"/>
              <w:rPr>
                <w:rFonts w:eastAsia="Calibri" w:cs="Times New Roman"/>
                <w:color w:val="000000"/>
                <w:sz w:val="22"/>
              </w:rPr>
            </w:pPr>
            <w:r w:rsidRPr="006823F3">
              <w:rPr>
                <w:rFonts w:eastAsia="Calibri" w:cs="Times New Roman"/>
                <w:b/>
                <w:bCs/>
                <w:color w:val="000000"/>
                <w:sz w:val="22"/>
              </w:rPr>
              <w:t>No Awareness</w:t>
            </w:r>
          </w:p>
        </w:tc>
        <w:tc>
          <w:tcPr>
            <w:tcW w:w="5868" w:type="dxa"/>
          </w:tcPr>
          <w:p w:rsidR="00644E29" w:rsidRPr="006823F3" w:rsidRDefault="00644E29" w:rsidP="00922B95">
            <w:pPr>
              <w:autoSpaceDE w:val="0"/>
              <w:autoSpaceDN w:val="0"/>
              <w:adjustRightInd w:val="0"/>
              <w:rPr>
                <w:rFonts w:eastAsia="Calibri" w:cs="Times New Roman"/>
                <w:color w:val="000000"/>
                <w:sz w:val="22"/>
              </w:rPr>
            </w:pPr>
            <w:r w:rsidRPr="006823F3">
              <w:rPr>
                <w:rFonts w:eastAsia="Calibri" w:cs="Times New Roman"/>
                <w:color w:val="000000"/>
                <w:sz w:val="22"/>
              </w:rPr>
              <w:t xml:space="preserve">Issue is not generally recognized by the community or leaders as a problem (or it may truly not be an issue). </w:t>
            </w:r>
          </w:p>
        </w:tc>
      </w:tr>
      <w:tr w:rsidR="00644E29" w:rsidRPr="006823F3" w:rsidTr="00922B95">
        <w:tc>
          <w:tcPr>
            <w:tcW w:w="3708" w:type="dxa"/>
            <w:vAlign w:val="center"/>
          </w:tcPr>
          <w:p w:rsidR="00644E29" w:rsidRPr="006823F3" w:rsidRDefault="00644E29" w:rsidP="00644E29">
            <w:pPr>
              <w:numPr>
                <w:ilvl w:val="0"/>
                <w:numId w:val="1"/>
              </w:numPr>
              <w:autoSpaceDE w:val="0"/>
              <w:autoSpaceDN w:val="0"/>
              <w:adjustRightInd w:val="0"/>
              <w:rPr>
                <w:rFonts w:eastAsia="Calibri" w:cs="Times New Roman"/>
                <w:color w:val="000000"/>
                <w:sz w:val="22"/>
              </w:rPr>
            </w:pPr>
            <w:r w:rsidRPr="006823F3">
              <w:rPr>
                <w:rFonts w:eastAsia="Calibri" w:cs="Times New Roman"/>
                <w:b/>
                <w:bCs/>
                <w:color w:val="000000"/>
                <w:sz w:val="22"/>
              </w:rPr>
              <w:t>Denial/Resistance</w:t>
            </w:r>
          </w:p>
        </w:tc>
        <w:tc>
          <w:tcPr>
            <w:tcW w:w="5868" w:type="dxa"/>
          </w:tcPr>
          <w:p w:rsidR="00644E29" w:rsidRPr="006823F3" w:rsidRDefault="00644E29" w:rsidP="00922B95">
            <w:pPr>
              <w:autoSpaceDE w:val="0"/>
              <w:autoSpaceDN w:val="0"/>
              <w:adjustRightInd w:val="0"/>
              <w:rPr>
                <w:rFonts w:eastAsia="Calibri" w:cs="Times New Roman"/>
                <w:color w:val="000000"/>
                <w:sz w:val="22"/>
              </w:rPr>
            </w:pPr>
            <w:r w:rsidRPr="006823F3">
              <w:rPr>
                <w:rFonts w:eastAsia="Calibri" w:cs="Times New Roman"/>
                <w:color w:val="000000"/>
                <w:sz w:val="22"/>
              </w:rPr>
              <w:t xml:space="preserve">At least some community members recognize that it is a concern, but there is little recognition that it might be occurring locally. </w:t>
            </w:r>
          </w:p>
        </w:tc>
      </w:tr>
      <w:tr w:rsidR="00644E29" w:rsidRPr="006823F3" w:rsidTr="00922B95">
        <w:tc>
          <w:tcPr>
            <w:tcW w:w="3708" w:type="dxa"/>
            <w:vAlign w:val="center"/>
          </w:tcPr>
          <w:p w:rsidR="00644E29" w:rsidRPr="006823F3" w:rsidRDefault="00644E29" w:rsidP="00644E29">
            <w:pPr>
              <w:numPr>
                <w:ilvl w:val="0"/>
                <w:numId w:val="1"/>
              </w:numPr>
              <w:autoSpaceDE w:val="0"/>
              <w:autoSpaceDN w:val="0"/>
              <w:adjustRightInd w:val="0"/>
              <w:rPr>
                <w:rFonts w:eastAsia="Calibri" w:cs="Times New Roman"/>
                <w:color w:val="000000"/>
                <w:sz w:val="22"/>
              </w:rPr>
            </w:pPr>
            <w:r w:rsidRPr="006823F3">
              <w:rPr>
                <w:rFonts w:eastAsia="Calibri" w:cs="Times New Roman"/>
                <w:b/>
                <w:bCs/>
                <w:color w:val="000000"/>
                <w:sz w:val="22"/>
              </w:rPr>
              <w:t>Vague Awareness</w:t>
            </w:r>
          </w:p>
        </w:tc>
        <w:tc>
          <w:tcPr>
            <w:tcW w:w="5868" w:type="dxa"/>
          </w:tcPr>
          <w:p w:rsidR="00644E29" w:rsidRPr="006823F3" w:rsidRDefault="00644E29" w:rsidP="00922B95">
            <w:pPr>
              <w:autoSpaceDE w:val="0"/>
              <w:autoSpaceDN w:val="0"/>
              <w:adjustRightInd w:val="0"/>
              <w:rPr>
                <w:rFonts w:eastAsia="Calibri" w:cs="Times New Roman"/>
                <w:color w:val="000000"/>
                <w:sz w:val="22"/>
              </w:rPr>
            </w:pPr>
            <w:r w:rsidRPr="006823F3">
              <w:rPr>
                <w:rFonts w:eastAsia="Calibri" w:cs="Times New Roman"/>
                <w:color w:val="000000"/>
                <w:sz w:val="22"/>
              </w:rPr>
              <w:t xml:space="preserve">Most feel that there is a local concern, but there is no immediate motivation to do anything about it. </w:t>
            </w:r>
          </w:p>
        </w:tc>
      </w:tr>
      <w:tr w:rsidR="00644E29" w:rsidRPr="006823F3" w:rsidTr="00922B95">
        <w:tc>
          <w:tcPr>
            <w:tcW w:w="3708" w:type="dxa"/>
            <w:vAlign w:val="center"/>
          </w:tcPr>
          <w:p w:rsidR="00644E29" w:rsidRPr="006823F3" w:rsidRDefault="00644E29" w:rsidP="00644E29">
            <w:pPr>
              <w:numPr>
                <w:ilvl w:val="0"/>
                <w:numId w:val="1"/>
              </w:numPr>
              <w:autoSpaceDE w:val="0"/>
              <w:autoSpaceDN w:val="0"/>
              <w:adjustRightInd w:val="0"/>
              <w:rPr>
                <w:rFonts w:eastAsia="Calibri" w:cs="Times New Roman"/>
                <w:color w:val="000000"/>
                <w:sz w:val="22"/>
              </w:rPr>
            </w:pPr>
            <w:r w:rsidRPr="006823F3">
              <w:rPr>
                <w:rFonts w:eastAsia="Calibri" w:cs="Times New Roman"/>
                <w:b/>
                <w:bCs/>
                <w:color w:val="000000"/>
                <w:sz w:val="22"/>
              </w:rPr>
              <w:t>Preplanning</w:t>
            </w:r>
          </w:p>
        </w:tc>
        <w:tc>
          <w:tcPr>
            <w:tcW w:w="5868" w:type="dxa"/>
          </w:tcPr>
          <w:p w:rsidR="00644E29" w:rsidRPr="006823F3" w:rsidRDefault="00644E29" w:rsidP="00922B95">
            <w:pPr>
              <w:autoSpaceDE w:val="0"/>
              <w:autoSpaceDN w:val="0"/>
              <w:adjustRightInd w:val="0"/>
              <w:rPr>
                <w:rFonts w:eastAsia="Calibri" w:cs="Times New Roman"/>
                <w:color w:val="000000"/>
                <w:sz w:val="22"/>
              </w:rPr>
            </w:pPr>
            <w:r w:rsidRPr="006823F3">
              <w:rPr>
                <w:rFonts w:eastAsia="Calibri" w:cs="Times New Roman"/>
                <w:color w:val="000000"/>
                <w:sz w:val="22"/>
              </w:rPr>
              <w:t xml:space="preserve">There is clear recognition that something must be done, and there may even be a group addressing it. However, efforts are not focused or detailed. </w:t>
            </w:r>
          </w:p>
        </w:tc>
      </w:tr>
      <w:tr w:rsidR="00644E29" w:rsidRPr="006823F3" w:rsidTr="00922B95">
        <w:tc>
          <w:tcPr>
            <w:tcW w:w="3708" w:type="dxa"/>
            <w:vAlign w:val="center"/>
          </w:tcPr>
          <w:p w:rsidR="00644E29" w:rsidRPr="006823F3" w:rsidRDefault="00644E29" w:rsidP="00644E29">
            <w:pPr>
              <w:numPr>
                <w:ilvl w:val="0"/>
                <w:numId w:val="1"/>
              </w:numPr>
              <w:autoSpaceDE w:val="0"/>
              <w:autoSpaceDN w:val="0"/>
              <w:adjustRightInd w:val="0"/>
              <w:rPr>
                <w:rFonts w:eastAsia="Calibri" w:cs="Times New Roman"/>
                <w:color w:val="000000"/>
                <w:sz w:val="22"/>
              </w:rPr>
            </w:pPr>
            <w:r w:rsidRPr="006823F3">
              <w:rPr>
                <w:rFonts w:eastAsia="Calibri" w:cs="Times New Roman"/>
                <w:b/>
                <w:bCs/>
                <w:color w:val="000000"/>
                <w:sz w:val="22"/>
              </w:rPr>
              <w:t>Preparation</w:t>
            </w:r>
          </w:p>
        </w:tc>
        <w:tc>
          <w:tcPr>
            <w:tcW w:w="5868" w:type="dxa"/>
          </w:tcPr>
          <w:p w:rsidR="00644E29" w:rsidRPr="006823F3" w:rsidRDefault="00644E29" w:rsidP="00922B95">
            <w:pPr>
              <w:autoSpaceDE w:val="0"/>
              <w:autoSpaceDN w:val="0"/>
              <w:adjustRightInd w:val="0"/>
              <w:rPr>
                <w:rFonts w:eastAsia="Calibri" w:cs="Times New Roman"/>
                <w:color w:val="000000"/>
                <w:sz w:val="22"/>
              </w:rPr>
            </w:pPr>
            <w:r w:rsidRPr="006823F3">
              <w:rPr>
                <w:rFonts w:eastAsia="Calibri" w:cs="Times New Roman"/>
                <w:color w:val="000000"/>
                <w:sz w:val="22"/>
              </w:rPr>
              <w:t xml:space="preserve">Active leaders begin planning in earnest. Community offers modest support of efforts. </w:t>
            </w:r>
          </w:p>
        </w:tc>
      </w:tr>
      <w:tr w:rsidR="00644E29" w:rsidRPr="006823F3" w:rsidTr="00922B95">
        <w:tc>
          <w:tcPr>
            <w:tcW w:w="3708" w:type="dxa"/>
            <w:vAlign w:val="center"/>
          </w:tcPr>
          <w:p w:rsidR="00644E29" w:rsidRPr="006823F3" w:rsidRDefault="00644E29" w:rsidP="00644E29">
            <w:pPr>
              <w:numPr>
                <w:ilvl w:val="0"/>
                <w:numId w:val="1"/>
              </w:numPr>
              <w:autoSpaceDE w:val="0"/>
              <w:autoSpaceDN w:val="0"/>
              <w:adjustRightInd w:val="0"/>
              <w:rPr>
                <w:rFonts w:eastAsia="Calibri" w:cs="Times New Roman"/>
                <w:color w:val="000000"/>
                <w:sz w:val="22"/>
              </w:rPr>
            </w:pPr>
            <w:r w:rsidRPr="006823F3">
              <w:rPr>
                <w:rFonts w:eastAsia="Calibri" w:cs="Times New Roman"/>
                <w:b/>
                <w:bCs/>
                <w:color w:val="000000"/>
                <w:sz w:val="22"/>
              </w:rPr>
              <w:t>Initiation</w:t>
            </w:r>
          </w:p>
        </w:tc>
        <w:tc>
          <w:tcPr>
            <w:tcW w:w="5868" w:type="dxa"/>
          </w:tcPr>
          <w:p w:rsidR="00644E29" w:rsidRPr="006823F3" w:rsidRDefault="00644E29" w:rsidP="00922B95">
            <w:pPr>
              <w:autoSpaceDE w:val="0"/>
              <w:autoSpaceDN w:val="0"/>
              <w:adjustRightInd w:val="0"/>
              <w:rPr>
                <w:rFonts w:eastAsia="Calibri" w:cs="Times New Roman"/>
                <w:color w:val="000000"/>
                <w:sz w:val="22"/>
              </w:rPr>
            </w:pPr>
            <w:r w:rsidRPr="006823F3">
              <w:rPr>
                <w:rFonts w:eastAsia="Calibri" w:cs="Times New Roman"/>
                <w:color w:val="000000"/>
                <w:sz w:val="22"/>
              </w:rPr>
              <w:t xml:space="preserve">Enough information is available to justify efforts. Activities are underway. </w:t>
            </w:r>
          </w:p>
        </w:tc>
      </w:tr>
      <w:tr w:rsidR="00644E29" w:rsidRPr="006823F3" w:rsidTr="00922B95">
        <w:tc>
          <w:tcPr>
            <w:tcW w:w="3708" w:type="dxa"/>
            <w:vAlign w:val="center"/>
          </w:tcPr>
          <w:p w:rsidR="00644E29" w:rsidRPr="006823F3" w:rsidRDefault="00644E29" w:rsidP="00644E29">
            <w:pPr>
              <w:numPr>
                <w:ilvl w:val="0"/>
                <w:numId w:val="1"/>
              </w:numPr>
              <w:autoSpaceDE w:val="0"/>
              <w:autoSpaceDN w:val="0"/>
              <w:adjustRightInd w:val="0"/>
              <w:rPr>
                <w:rFonts w:eastAsia="Calibri" w:cs="Times New Roman"/>
                <w:color w:val="000000"/>
                <w:sz w:val="22"/>
              </w:rPr>
            </w:pPr>
            <w:r w:rsidRPr="006823F3">
              <w:rPr>
                <w:rFonts w:eastAsia="Calibri" w:cs="Times New Roman"/>
                <w:b/>
                <w:bCs/>
                <w:color w:val="000000"/>
                <w:sz w:val="22"/>
              </w:rPr>
              <w:t>Stabilization</w:t>
            </w:r>
          </w:p>
        </w:tc>
        <w:tc>
          <w:tcPr>
            <w:tcW w:w="5868" w:type="dxa"/>
          </w:tcPr>
          <w:p w:rsidR="00644E29" w:rsidRPr="006823F3" w:rsidRDefault="00644E29" w:rsidP="00922B95">
            <w:pPr>
              <w:autoSpaceDE w:val="0"/>
              <w:autoSpaceDN w:val="0"/>
              <w:adjustRightInd w:val="0"/>
              <w:rPr>
                <w:rFonts w:eastAsia="Calibri" w:cs="Times New Roman"/>
                <w:color w:val="000000"/>
                <w:sz w:val="22"/>
              </w:rPr>
            </w:pPr>
            <w:r w:rsidRPr="006823F3">
              <w:rPr>
                <w:rFonts w:eastAsia="Calibri" w:cs="Times New Roman"/>
                <w:color w:val="000000"/>
                <w:sz w:val="22"/>
              </w:rPr>
              <w:t xml:space="preserve">Activities are supported by administrators or community decision makers. Staff are trained and experienced. </w:t>
            </w:r>
          </w:p>
        </w:tc>
      </w:tr>
      <w:tr w:rsidR="00644E29" w:rsidRPr="006823F3" w:rsidTr="00922B95">
        <w:tc>
          <w:tcPr>
            <w:tcW w:w="3708" w:type="dxa"/>
            <w:vAlign w:val="center"/>
          </w:tcPr>
          <w:p w:rsidR="00644E29" w:rsidRPr="006823F3" w:rsidRDefault="00644E29" w:rsidP="00644E29">
            <w:pPr>
              <w:numPr>
                <w:ilvl w:val="0"/>
                <w:numId w:val="1"/>
              </w:numPr>
              <w:autoSpaceDE w:val="0"/>
              <w:autoSpaceDN w:val="0"/>
              <w:adjustRightInd w:val="0"/>
              <w:rPr>
                <w:rFonts w:eastAsia="Calibri" w:cs="Times New Roman"/>
                <w:color w:val="000000"/>
                <w:sz w:val="22"/>
              </w:rPr>
            </w:pPr>
            <w:r w:rsidRPr="006823F3">
              <w:rPr>
                <w:rFonts w:eastAsia="Calibri" w:cs="Times New Roman"/>
                <w:b/>
                <w:bCs/>
                <w:color w:val="000000"/>
                <w:sz w:val="22"/>
              </w:rPr>
              <w:t>Confirmation/Expansion</w:t>
            </w:r>
          </w:p>
        </w:tc>
        <w:tc>
          <w:tcPr>
            <w:tcW w:w="5868" w:type="dxa"/>
          </w:tcPr>
          <w:p w:rsidR="00644E29" w:rsidRPr="006823F3" w:rsidRDefault="00644E29" w:rsidP="00922B95">
            <w:pPr>
              <w:autoSpaceDE w:val="0"/>
              <w:autoSpaceDN w:val="0"/>
              <w:adjustRightInd w:val="0"/>
              <w:rPr>
                <w:rFonts w:eastAsia="Calibri" w:cs="Times New Roman"/>
                <w:color w:val="000000"/>
                <w:sz w:val="22"/>
              </w:rPr>
            </w:pPr>
            <w:r w:rsidRPr="006823F3">
              <w:rPr>
                <w:rFonts w:eastAsia="Calibri" w:cs="Times New Roman"/>
                <w:color w:val="000000"/>
                <w:sz w:val="22"/>
              </w:rPr>
              <w:t xml:space="preserve">Efforts are in place. Community members feel comfortable using services, and they support expansions. Local data are regularly obtained. </w:t>
            </w:r>
          </w:p>
        </w:tc>
      </w:tr>
      <w:tr w:rsidR="00644E29" w:rsidRPr="006823F3" w:rsidTr="00922B95">
        <w:tc>
          <w:tcPr>
            <w:tcW w:w="3708" w:type="dxa"/>
            <w:vAlign w:val="center"/>
          </w:tcPr>
          <w:p w:rsidR="00644E29" w:rsidRPr="006823F3" w:rsidRDefault="00644E29" w:rsidP="00644E29">
            <w:pPr>
              <w:numPr>
                <w:ilvl w:val="0"/>
                <w:numId w:val="1"/>
              </w:numPr>
              <w:autoSpaceDE w:val="0"/>
              <w:autoSpaceDN w:val="0"/>
              <w:adjustRightInd w:val="0"/>
              <w:rPr>
                <w:rFonts w:eastAsia="Calibri" w:cs="Times New Roman"/>
                <w:color w:val="000000"/>
                <w:sz w:val="22"/>
              </w:rPr>
            </w:pPr>
            <w:r w:rsidRPr="006823F3">
              <w:rPr>
                <w:rFonts w:eastAsia="Calibri" w:cs="Times New Roman"/>
                <w:b/>
                <w:bCs/>
                <w:color w:val="000000"/>
                <w:sz w:val="22"/>
              </w:rPr>
              <w:t>High Level of Community Ownership</w:t>
            </w:r>
          </w:p>
        </w:tc>
        <w:tc>
          <w:tcPr>
            <w:tcW w:w="5868" w:type="dxa"/>
          </w:tcPr>
          <w:p w:rsidR="00644E29" w:rsidRPr="006823F3" w:rsidRDefault="00644E29" w:rsidP="00922B95">
            <w:pPr>
              <w:autoSpaceDE w:val="0"/>
              <w:autoSpaceDN w:val="0"/>
              <w:adjustRightInd w:val="0"/>
              <w:rPr>
                <w:rFonts w:eastAsia="Calibri" w:cs="Times New Roman"/>
                <w:color w:val="000000"/>
                <w:sz w:val="22"/>
              </w:rPr>
            </w:pPr>
            <w:r w:rsidRPr="006823F3">
              <w:rPr>
                <w:rFonts w:eastAsia="Calibri" w:cs="Times New Roman"/>
                <w:color w:val="000000"/>
                <w:sz w:val="22"/>
              </w:rPr>
              <w:t xml:space="preserve">Detailed and sophisticated knowledge exists about prevalence, causes, and consequences. Effective evaluation guides new directions. Model is applied to other issues. </w:t>
            </w:r>
          </w:p>
        </w:tc>
      </w:tr>
    </w:tbl>
    <w:p w:rsidR="00644E29" w:rsidRPr="006823F3" w:rsidRDefault="00644E29" w:rsidP="00644E29">
      <w:pPr>
        <w:autoSpaceDE w:val="0"/>
        <w:autoSpaceDN w:val="0"/>
        <w:adjustRightInd w:val="0"/>
        <w:rPr>
          <w:rFonts w:ascii="Times New Roman" w:eastAsia="Calibri" w:hAnsi="Times New Roman" w:cs="Times New Roman"/>
        </w:rPr>
      </w:pPr>
    </w:p>
    <w:p w:rsidR="00644E29" w:rsidRPr="006823F3" w:rsidRDefault="00644E29" w:rsidP="00644E29">
      <w:pPr>
        <w:autoSpaceDE w:val="0"/>
        <w:autoSpaceDN w:val="0"/>
        <w:adjustRightInd w:val="0"/>
        <w:rPr>
          <w:rFonts w:ascii="Times New Roman" w:eastAsia="Calibri" w:hAnsi="Times New Roman" w:cs="Times New Roman"/>
        </w:rPr>
      </w:pPr>
      <w:r w:rsidRPr="006823F3">
        <w:rPr>
          <w:rFonts w:ascii="Times New Roman" w:eastAsia="Calibri" w:hAnsi="Times New Roman" w:cs="Times New Roman"/>
        </w:rPr>
        <w:t>The use of this model highlights the importance of developing strategies at the individual and relationship levels first, and then moving up through the stages of readiness toward a high level of community ownership. It is at the higher levels of readiness in which policies and laws can be addressed and changed. This process seems to naturally follow the four levels described in the Social-Ecological Model.</w:t>
      </w:r>
    </w:p>
    <w:p w:rsidR="00644E29" w:rsidRPr="006823F3" w:rsidRDefault="00644E29" w:rsidP="00644E29">
      <w:pPr>
        <w:autoSpaceDE w:val="0"/>
        <w:autoSpaceDN w:val="0"/>
        <w:adjustRightInd w:val="0"/>
        <w:rPr>
          <w:rFonts w:ascii="Times New Roman" w:eastAsia="Calibri" w:hAnsi="Times New Roman" w:cs="Times New Roman"/>
        </w:rPr>
      </w:pPr>
    </w:p>
    <w:p w:rsidR="005E0EDE" w:rsidRPr="00644E29" w:rsidRDefault="00644E29">
      <w:pPr>
        <w:rPr>
          <w:rFonts w:ascii="Times New Roman" w:eastAsia="Calibri" w:hAnsi="Times New Roman" w:cs="Times New Roman"/>
        </w:rPr>
      </w:pPr>
      <w:r w:rsidRPr="006823F3">
        <w:rPr>
          <w:rFonts w:ascii="Times New Roman" w:eastAsia="Calibri" w:hAnsi="Times New Roman" w:cs="Times New Roman"/>
        </w:rPr>
        <w:t>Pilot communities will be addressing the issue of sexual violence prevention by using primary prevention techniques and strategies that are informed by the four levels of the Social-Ecological and Community Readiness Models.</w:t>
      </w:r>
      <w:bookmarkStart w:id="0" w:name="_GoBack"/>
      <w:bookmarkEnd w:id="0"/>
    </w:p>
    <w:sectPr w:rsidR="005E0EDE" w:rsidRPr="00644E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60" w:rsidRDefault="002C4860" w:rsidP="00644E29">
      <w:r>
        <w:separator/>
      </w:r>
    </w:p>
  </w:endnote>
  <w:endnote w:type="continuationSeparator" w:id="0">
    <w:p w:rsidR="002C4860" w:rsidRDefault="002C4860" w:rsidP="0064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Medium BT">
    <w:altName w:val="Futura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60" w:rsidRDefault="002C4860" w:rsidP="00644E29">
      <w:r>
        <w:separator/>
      </w:r>
    </w:p>
  </w:footnote>
  <w:footnote w:type="continuationSeparator" w:id="0">
    <w:p w:rsidR="002C4860" w:rsidRDefault="002C4860" w:rsidP="00644E29">
      <w:r>
        <w:continuationSeparator/>
      </w:r>
    </w:p>
  </w:footnote>
  <w:footnote w:id="1">
    <w:p w:rsidR="00644E29" w:rsidRPr="00AC2E31" w:rsidRDefault="00644E29" w:rsidP="00644E29">
      <w:pPr>
        <w:pStyle w:val="Default"/>
        <w:rPr>
          <w:rFonts w:ascii="Times New Roman" w:hAnsi="Times New Roman" w:cs="Times New Roman"/>
          <w:sz w:val="16"/>
          <w:szCs w:val="16"/>
        </w:rPr>
      </w:pPr>
      <w:r w:rsidRPr="00AC2E31">
        <w:rPr>
          <w:rStyle w:val="FootnoteReference"/>
          <w:rFonts w:ascii="Times New Roman" w:hAnsi="Times New Roman" w:cs="Times New Roman"/>
          <w:sz w:val="16"/>
          <w:szCs w:val="16"/>
        </w:rPr>
        <w:footnoteRef/>
      </w:r>
      <w:r w:rsidRPr="00AC2E31">
        <w:rPr>
          <w:rFonts w:ascii="Times New Roman" w:hAnsi="Times New Roman" w:cs="Times New Roman"/>
          <w:sz w:val="16"/>
          <w:szCs w:val="16"/>
        </w:rPr>
        <w:t xml:space="preserve"> </w:t>
      </w:r>
      <w:proofErr w:type="spellStart"/>
      <w:proofErr w:type="gramStart"/>
      <w:r w:rsidRPr="00AC2E31">
        <w:rPr>
          <w:rFonts w:ascii="Times New Roman" w:hAnsi="Times New Roman" w:cs="Times New Roman"/>
          <w:sz w:val="16"/>
          <w:szCs w:val="16"/>
        </w:rPr>
        <w:t>Plested</w:t>
      </w:r>
      <w:proofErr w:type="spellEnd"/>
      <w:r w:rsidRPr="00AC2E31">
        <w:rPr>
          <w:rFonts w:ascii="Times New Roman" w:hAnsi="Times New Roman" w:cs="Times New Roman"/>
          <w:sz w:val="16"/>
          <w:szCs w:val="16"/>
        </w:rPr>
        <w:t>, B.A., Edwards, R.W., &amp; Jumper-Thurman, P. (2006).</w:t>
      </w:r>
      <w:proofErr w:type="gramEnd"/>
      <w:r w:rsidRPr="00AC2E31">
        <w:rPr>
          <w:rFonts w:ascii="Times New Roman" w:hAnsi="Times New Roman" w:cs="Times New Roman"/>
          <w:sz w:val="16"/>
          <w:szCs w:val="16"/>
        </w:rPr>
        <w:t xml:space="preserve"> Community Readiness: A handbook for successful change. Fort Collins, </w:t>
      </w:r>
    </w:p>
    <w:p w:rsidR="00644E29" w:rsidRDefault="00644E29" w:rsidP="00644E29">
      <w:pPr>
        <w:pStyle w:val="FootnoteText"/>
      </w:pPr>
      <w:r w:rsidRPr="00AC2E31">
        <w:rPr>
          <w:rFonts w:ascii="Times New Roman" w:hAnsi="Times New Roman" w:cs="Times New Roman"/>
          <w:color w:val="000000"/>
          <w:sz w:val="16"/>
          <w:szCs w:val="16"/>
        </w:rPr>
        <w:t xml:space="preserve">CO: Tri-Ethnic Center for Prevention Research. Retrieved from </w:t>
      </w:r>
      <w:hyperlink r:id="rId1" w:history="1">
        <w:r w:rsidRPr="00AD3C0D">
          <w:rPr>
            <w:rStyle w:val="Hyperlink1"/>
            <w:rFonts w:ascii="Times New Roman" w:hAnsi="Times New Roman" w:cs="Times New Roman"/>
            <w:sz w:val="16"/>
            <w:szCs w:val="16"/>
          </w:rPr>
          <w:t>http://www.mtwytlc.com/CR%20Handbook%20SS.pdf</w:t>
        </w:r>
      </w:hyperlink>
      <w:r>
        <w:rPr>
          <w:rFonts w:ascii="Times New Roman" w:hAnsi="Times New Roman" w:cs="Times New Roman"/>
          <w:color w:val="000000"/>
          <w:sz w:val="16"/>
          <w:szCs w:val="16"/>
        </w:rPr>
        <w:t xml:space="preserve"> </w:t>
      </w:r>
    </w:p>
  </w:footnote>
  <w:footnote w:id="2">
    <w:p w:rsidR="00644E29" w:rsidRPr="00BD6D55" w:rsidRDefault="00644E29" w:rsidP="00644E29">
      <w:pPr>
        <w:pStyle w:val="FootnoteText"/>
        <w:rPr>
          <w:rFonts w:ascii="Times New Roman" w:hAnsi="Times New Roman" w:cs="Times New Roman"/>
          <w:sz w:val="16"/>
          <w:szCs w:val="16"/>
        </w:rPr>
      </w:pPr>
      <w:r w:rsidRPr="00BD6D55">
        <w:rPr>
          <w:rStyle w:val="FootnoteReference"/>
          <w:rFonts w:ascii="Times New Roman" w:hAnsi="Times New Roman" w:cs="Times New Roman"/>
          <w:sz w:val="16"/>
          <w:szCs w:val="16"/>
        </w:rPr>
        <w:footnoteRef/>
      </w:r>
      <w:r w:rsidRPr="00BD6D55">
        <w:rPr>
          <w:rFonts w:ascii="Times New Roman" w:hAnsi="Times New Roman" w:cs="Times New Roman"/>
          <w:sz w:val="16"/>
          <w:szCs w:val="16"/>
        </w:rPr>
        <w:t xml:space="preserve"> </w:t>
      </w:r>
      <w:proofErr w:type="gramStart"/>
      <w:r w:rsidRPr="00BD6D55">
        <w:rPr>
          <w:rFonts w:ascii="Times New Roman" w:hAnsi="Times New Roman" w:cs="Times New Roman"/>
          <w:sz w:val="16"/>
          <w:szCs w:val="16"/>
        </w:rPr>
        <w:t xml:space="preserve">Thurman, P., Edwards, R., </w:t>
      </w:r>
      <w:proofErr w:type="spellStart"/>
      <w:r w:rsidRPr="00BD6D55">
        <w:rPr>
          <w:rFonts w:ascii="Times New Roman" w:hAnsi="Times New Roman" w:cs="Times New Roman"/>
          <w:sz w:val="16"/>
          <w:szCs w:val="16"/>
        </w:rPr>
        <w:t>Plested</w:t>
      </w:r>
      <w:proofErr w:type="spellEnd"/>
      <w:r w:rsidRPr="00BD6D55">
        <w:rPr>
          <w:rFonts w:ascii="Times New Roman" w:hAnsi="Times New Roman" w:cs="Times New Roman"/>
          <w:sz w:val="16"/>
          <w:szCs w:val="16"/>
        </w:rPr>
        <w:t>, B.A., Foley, R., &amp; Burnside, M. (2003).</w:t>
      </w:r>
      <w:proofErr w:type="gramEnd"/>
      <w:r w:rsidRPr="00BD6D55">
        <w:rPr>
          <w:rFonts w:ascii="Times New Roman" w:hAnsi="Times New Roman" w:cs="Times New Roman"/>
          <w:sz w:val="16"/>
          <w:szCs w:val="16"/>
        </w:rPr>
        <w:t xml:space="preserve"> Community Readiness: The journey to community healing. </w:t>
      </w:r>
      <w:r w:rsidRPr="00BD6D55">
        <w:rPr>
          <w:rFonts w:ascii="Times New Roman" w:hAnsi="Times New Roman" w:cs="Times New Roman"/>
          <w:i/>
          <w:iCs/>
          <w:sz w:val="16"/>
          <w:szCs w:val="16"/>
        </w:rPr>
        <w:t>Journal of Psychoactive Drugs, 35</w:t>
      </w:r>
      <w:r w:rsidRPr="00BD6D55">
        <w:rPr>
          <w:rFonts w:ascii="Times New Roman" w:hAnsi="Times New Roman" w:cs="Times New Roman"/>
          <w:sz w:val="16"/>
          <w:szCs w:val="16"/>
        </w:rPr>
        <w:t>(1), 27-32.</w:t>
      </w:r>
    </w:p>
  </w:footnote>
  <w:footnote w:id="3">
    <w:p w:rsidR="00644E29" w:rsidRPr="00BD6D55" w:rsidRDefault="00644E29" w:rsidP="00644E29">
      <w:pPr>
        <w:pStyle w:val="Default"/>
        <w:rPr>
          <w:rFonts w:ascii="Times New Roman" w:hAnsi="Times New Roman" w:cs="Times New Roman"/>
          <w:sz w:val="16"/>
          <w:szCs w:val="16"/>
        </w:rPr>
      </w:pPr>
      <w:r w:rsidRPr="00BD6D55">
        <w:rPr>
          <w:rStyle w:val="FootnoteReference"/>
          <w:rFonts w:ascii="Times New Roman" w:hAnsi="Times New Roman" w:cs="Times New Roman"/>
          <w:sz w:val="16"/>
          <w:szCs w:val="16"/>
        </w:rPr>
        <w:footnoteRef/>
      </w:r>
      <w:r w:rsidRPr="00BD6D55">
        <w:rPr>
          <w:rFonts w:ascii="Times New Roman" w:hAnsi="Times New Roman" w:cs="Times New Roman"/>
          <w:sz w:val="16"/>
          <w:szCs w:val="16"/>
        </w:rPr>
        <w:t xml:space="preserve"> Edwards, R. W., Jumper-</w:t>
      </w:r>
      <w:proofErr w:type="spellStart"/>
      <w:r w:rsidRPr="00BD6D55">
        <w:rPr>
          <w:rFonts w:ascii="Times New Roman" w:hAnsi="Times New Roman" w:cs="Times New Roman"/>
          <w:sz w:val="16"/>
          <w:szCs w:val="16"/>
        </w:rPr>
        <w:t>Thurman.P</w:t>
      </w:r>
      <w:proofErr w:type="spellEnd"/>
      <w:r w:rsidRPr="00BD6D55">
        <w:rPr>
          <w:rFonts w:ascii="Times New Roman" w:hAnsi="Times New Roman" w:cs="Times New Roman"/>
          <w:sz w:val="16"/>
          <w:szCs w:val="16"/>
        </w:rPr>
        <w:t xml:space="preserve">., </w:t>
      </w:r>
      <w:proofErr w:type="spellStart"/>
      <w:r w:rsidRPr="00BD6D55">
        <w:rPr>
          <w:rFonts w:ascii="Times New Roman" w:hAnsi="Times New Roman" w:cs="Times New Roman"/>
          <w:sz w:val="16"/>
          <w:szCs w:val="16"/>
        </w:rPr>
        <w:t>Plested</w:t>
      </w:r>
      <w:proofErr w:type="spellEnd"/>
      <w:r w:rsidRPr="00BD6D55">
        <w:rPr>
          <w:rFonts w:ascii="Times New Roman" w:hAnsi="Times New Roman" w:cs="Times New Roman"/>
          <w:sz w:val="16"/>
          <w:szCs w:val="16"/>
        </w:rPr>
        <w:t xml:space="preserve">, B. A., </w:t>
      </w:r>
      <w:proofErr w:type="spellStart"/>
      <w:r w:rsidRPr="00BD6D55">
        <w:rPr>
          <w:rFonts w:ascii="Times New Roman" w:hAnsi="Times New Roman" w:cs="Times New Roman"/>
          <w:sz w:val="16"/>
          <w:szCs w:val="16"/>
        </w:rPr>
        <w:t>Oetting</w:t>
      </w:r>
      <w:proofErr w:type="spellEnd"/>
      <w:r w:rsidRPr="00BD6D55">
        <w:rPr>
          <w:rFonts w:ascii="Times New Roman" w:hAnsi="Times New Roman" w:cs="Times New Roman"/>
          <w:sz w:val="16"/>
          <w:szCs w:val="16"/>
        </w:rPr>
        <w:t xml:space="preserve">, E. R., &amp; Swanson, L. (2000). Community readiness: Research to practice. </w:t>
      </w:r>
      <w:r w:rsidRPr="00BD6D55">
        <w:rPr>
          <w:rFonts w:ascii="Times New Roman" w:hAnsi="Times New Roman" w:cs="Times New Roman"/>
          <w:i/>
          <w:iCs/>
          <w:sz w:val="16"/>
          <w:szCs w:val="16"/>
        </w:rPr>
        <w:t>Journal of Community Psychology, 28</w:t>
      </w:r>
      <w:r w:rsidRPr="00BD6D55">
        <w:rPr>
          <w:rFonts w:ascii="Times New Roman" w:hAnsi="Times New Roman" w:cs="Times New Roman"/>
          <w:sz w:val="16"/>
          <w:szCs w:val="16"/>
        </w:rPr>
        <w:t>(3), 291-307.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A569E"/>
    <w:multiLevelType w:val="hybridMultilevel"/>
    <w:tmpl w:val="2D86E20A"/>
    <w:lvl w:ilvl="0" w:tplc="DEF4DB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29"/>
    <w:rsid w:val="002C4860"/>
    <w:rsid w:val="005C0D09"/>
    <w:rsid w:val="00644E29"/>
    <w:rsid w:val="00D9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2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644E29"/>
    <w:rPr>
      <w:color w:val="0000FF"/>
      <w:u w:val="single"/>
    </w:rPr>
  </w:style>
  <w:style w:type="paragraph" w:customStyle="1" w:styleId="Default">
    <w:name w:val="Default"/>
    <w:rsid w:val="00644E29"/>
    <w:pPr>
      <w:autoSpaceDE w:val="0"/>
      <w:autoSpaceDN w:val="0"/>
      <w:adjustRightInd w:val="0"/>
      <w:spacing w:after="0" w:line="240" w:lineRule="auto"/>
    </w:pPr>
    <w:rPr>
      <w:rFonts w:ascii="Futura Medium BT" w:hAnsi="Futura Medium BT" w:cs="Futura Medium BT"/>
      <w:color w:val="000000"/>
      <w:sz w:val="24"/>
      <w:szCs w:val="24"/>
    </w:rPr>
  </w:style>
  <w:style w:type="paragraph" w:styleId="FootnoteText">
    <w:name w:val="footnote text"/>
    <w:basedOn w:val="Normal"/>
    <w:link w:val="FootnoteTextChar"/>
    <w:uiPriority w:val="99"/>
    <w:semiHidden/>
    <w:unhideWhenUsed/>
    <w:rsid w:val="00644E29"/>
    <w:rPr>
      <w:sz w:val="20"/>
      <w:szCs w:val="20"/>
    </w:rPr>
  </w:style>
  <w:style w:type="character" w:customStyle="1" w:styleId="FootnoteTextChar">
    <w:name w:val="Footnote Text Char"/>
    <w:basedOn w:val="DefaultParagraphFont"/>
    <w:link w:val="FootnoteText"/>
    <w:uiPriority w:val="99"/>
    <w:semiHidden/>
    <w:rsid w:val="00644E29"/>
    <w:rPr>
      <w:sz w:val="20"/>
      <w:szCs w:val="20"/>
    </w:rPr>
  </w:style>
  <w:style w:type="character" w:styleId="FootnoteReference">
    <w:name w:val="footnote reference"/>
    <w:basedOn w:val="DefaultParagraphFont"/>
    <w:uiPriority w:val="99"/>
    <w:semiHidden/>
    <w:unhideWhenUsed/>
    <w:rsid w:val="00644E29"/>
    <w:rPr>
      <w:vertAlign w:val="superscript"/>
    </w:rPr>
  </w:style>
  <w:style w:type="table" w:styleId="TableGrid">
    <w:name w:val="Table Grid"/>
    <w:basedOn w:val="TableNormal"/>
    <w:uiPriority w:val="59"/>
    <w:rsid w:val="00644E2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2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644E29"/>
    <w:rPr>
      <w:color w:val="0000FF"/>
      <w:u w:val="single"/>
    </w:rPr>
  </w:style>
  <w:style w:type="paragraph" w:customStyle="1" w:styleId="Default">
    <w:name w:val="Default"/>
    <w:rsid w:val="00644E29"/>
    <w:pPr>
      <w:autoSpaceDE w:val="0"/>
      <w:autoSpaceDN w:val="0"/>
      <w:adjustRightInd w:val="0"/>
      <w:spacing w:after="0" w:line="240" w:lineRule="auto"/>
    </w:pPr>
    <w:rPr>
      <w:rFonts w:ascii="Futura Medium BT" w:hAnsi="Futura Medium BT" w:cs="Futura Medium BT"/>
      <w:color w:val="000000"/>
      <w:sz w:val="24"/>
      <w:szCs w:val="24"/>
    </w:rPr>
  </w:style>
  <w:style w:type="paragraph" w:styleId="FootnoteText">
    <w:name w:val="footnote text"/>
    <w:basedOn w:val="Normal"/>
    <w:link w:val="FootnoteTextChar"/>
    <w:uiPriority w:val="99"/>
    <w:semiHidden/>
    <w:unhideWhenUsed/>
    <w:rsid w:val="00644E29"/>
    <w:rPr>
      <w:sz w:val="20"/>
      <w:szCs w:val="20"/>
    </w:rPr>
  </w:style>
  <w:style w:type="character" w:customStyle="1" w:styleId="FootnoteTextChar">
    <w:name w:val="Footnote Text Char"/>
    <w:basedOn w:val="DefaultParagraphFont"/>
    <w:link w:val="FootnoteText"/>
    <w:uiPriority w:val="99"/>
    <w:semiHidden/>
    <w:rsid w:val="00644E29"/>
    <w:rPr>
      <w:sz w:val="20"/>
      <w:szCs w:val="20"/>
    </w:rPr>
  </w:style>
  <w:style w:type="character" w:styleId="FootnoteReference">
    <w:name w:val="footnote reference"/>
    <w:basedOn w:val="DefaultParagraphFont"/>
    <w:uiPriority w:val="99"/>
    <w:semiHidden/>
    <w:unhideWhenUsed/>
    <w:rsid w:val="00644E29"/>
    <w:rPr>
      <w:vertAlign w:val="superscript"/>
    </w:rPr>
  </w:style>
  <w:style w:type="table" w:styleId="TableGrid">
    <w:name w:val="Table Grid"/>
    <w:basedOn w:val="TableNormal"/>
    <w:uiPriority w:val="59"/>
    <w:rsid w:val="00644E2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twytlc.com/CR%20Handbook%20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Hughes</dc:creator>
  <cp:lastModifiedBy>Katie Hughes</cp:lastModifiedBy>
  <cp:revision>1</cp:revision>
  <dcterms:created xsi:type="dcterms:W3CDTF">2015-06-19T17:17:00Z</dcterms:created>
  <dcterms:modified xsi:type="dcterms:W3CDTF">2015-06-19T17:18:00Z</dcterms:modified>
</cp:coreProperties>
</file>